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6E6C8" w14:textId="77777777" w:rsidR="00466021" w:rsidRDefault="00466021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14:paraId="276298D2" w14:textId="6061BE1A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0B80B1ED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1B527E">
        <w:rPr>
          <w:rFonts w:ascii="Times New Roman" w:hAnsi="Times New Roman" w:cs="Times New Roman"/>
          <w:b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4FBDB401" w14:textId="36735D01" w:rsidR="001B527E" w:rsidRDefault="00FF2795" w:rsidP="001B527E">
      <w:pPr>
        <w:pStyle w:val="Default"/>
        <w:jc w:val="both"/>
      </w:pPr>
      <w:r w:rsidRPr="0090257B">
        <w:t xml:space="preserve">При подаване на </w:t>
      </w:r>
      <w:r w:rsidR="00901460" w:rsidRPr="0090257B">
        <w:t>проектни предложения кандидат</w:t>
      </w:r>
      <w:r w:rsidRPr="0090257B">
        <w:t>ите</w:t>
      </w:r>
      <w:r w:rsidR="001B527E">
        <w:t>/партньорите</w:t>
      </w:r>
      <w:r w:rsidR="00901460" w:rsidRPr="0090257B">
        <w:t xml:space="preserve"> трябва да представ</w:t>
      </w:r>
      <w:r w:rsidRPr="0090257B">
        <w:t>ят</w:t>
      </w:r>
      <w:r w:rsidR="00901460" w:rsidRPr="0090257B">
        <w:t xml:space="preserve"> </w:t>
      </w:r>
      <w:r w:rsidR="00550B6F" w:rsidRPr="0090257B">
        <w:t xml:space="preserve">счетоводен баланс за </w:t>
      </w:r>
      <w:r w:rsidR="001B527E">
        <w:t>предходната</w:t>
      </w:r>
      <w:r w:rsidR="001B527E" w:rsidRPr="0090257B">
        <w:t xml:space="preserve"> финансов</w:t>
      </w:r>
      <w:r w:rsidR="001B527E">
        <w:t>а</w:t>
      </w:r>
      <w:r w:rsidR="001B527E" w:rsidRPr="0090257B">
        <w:t xml:space="preserve"> </w:t>
      </w:r>
      <w:r w:rsidR="00550B6F" w:rsidRPr="0090257B">
        <w:t>годин</w:t>
      </w:r>
      <w:r w:rsidR="001B527E">
        <w:t>а</w:t>
      </w:r>
      <w:r w:rsidR="00553A92">
        <w:rPr>
          <w:rStyle w:val="af2"/>
        </w:rPr>
        <w:footnoteReference w:id="1"/>
      </w:r>
      <w:r w:rsidR="00550B6F" w:rsidRPr="0090257B">
        <w:t>.</w:t>
      </w:r>
      <w:r w:rsidR="001B527E">
        <w:t xml:space="preserve"> </w:t>
      </w:r>
      <w:r w:rsidR="001B527E" w:rsidRPr="00211E31">
        <w:t xml:space="preserve">В случай че </w:t>
      </w:r>
      <w:r w:rsidR="001B527E">
        <w:t>финансовите отчети</w:t>
      </w:r>
      <w:r w:rsidR="001B527E" w:rsidRPr="00211E31">
        <w:t xml:space="preserve"> за предходната финансова година </w:t>
      </w:r>
      <w:r w:rsidR="001B527E">
        <w:t>са</w:t>
      </w:r>
      <w:r w:rsidR="001B527E" w:rsidRPr="00211E31">
        <w:t xml:space="preserve"> подаден</w:t>
      </w:r>
      <w:r w:rsidR="001B527E">
        <w:t>и</w:t>
      </w:r>
      <w:r w:rsidR="001B527E" w:rsidRPr="00211E31">
        <w:t xml:space="preserve">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  <w:r w:rsidR="001B527E" w:rsidRPr="00B57672">
        <w:t xml:space="preserve"> </w:t>
      </w:r>
    </w:p>
    <w:p w14:paraId="3BAF7882" w14:textId="77777777" w:rsidR="001B527E" w:rsidRDefault="001B527E" w:rsidP="001B527E">
      <w:pPr>
        <w:pStyle w:val="Default"/>
        <w:jc w:val="both"/>
      </w:pPr>
      <w:r>
        <w:t>Когато кандидатът/партньорът е новорегистрирана/новосъздадена през текущата година организация, следва да представи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1B6EBE07" w14:textId="54FB3C68" w:rsidR="00433628" w:rsidRPr="0090257B" w:rsidRDefault="00433628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77777777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52E86F06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7CBA4174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 w:rsidRPr="001B527E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1B527E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ECEA4" w14:textId="77777777" w:rsidR="007A68AC" w:rsidRDefault="007A68AC" w:rsidP="00B938A0">
      <w:pPr>
        <w:spacing w:after="0" w:line="240" w:lineRule="auto"/>
      </w:pPr>
      <w:r>
        <w:separator/>
      </w:r>
    </w:p>
  </w:endnote>
  <w:endnote w:type="continuationSeparator" w:id="0">
    <w:p w14:paraId="2D543F0D" w14:textId="77777777" w:rsidR="007A68AC" w:rsidRDefault="007A68AC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8BD41" w14:textId="77777777" w:rsidR="007A68AC" w:rsidRDefault="007A68AC" w:rsidP="00B938A0">
      <w:pPr>
        <w:spacing w:after="0" w:line="240" w:lineRule="auto"/>
      </w:pPr>
      <w:r>
        <w:separator/>
      </w:r>
    </w:p>
  </w:footnote>
  <w:footnote w:type="continuationSeparator" w:id="0">
    <w:p w14:paraId="74EA8056" w14:textId="77777777" w:rsidR="007A68AC" w:rsidRDefault="007A68AC" w:rsidP="00B938A0">
      <w:pPr>
        <w:spacing w:after="0" w:line="240" w:lineRule="auto"/>
      </w:pPr>
      <w:r>
        <w:continuationSeparator/>
      </w:r>
    </w:p>
  </w:footnote>
  <w:footnote w:id="1">
    <w:p w14:paraId="7424DEC7" w14:textId="77777777" w:rsidR="00553A92" w:rsidRPr="00AA7520" w:rsidRDefault="00553A92" w:rsidP="00553A92">
      <w:pPr>
        <w:pStyle w:val="af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r>
        <w:rPr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67A31"/>
    <w:rsid w:val="00102707"/>
    <w:rsid w:val="00106B39"/>
    <w:rsid w:val="0013793B"/>
    <w:rsid w:val="00162BE1"/>
    <w:rsid w:val="001B39F2"/>
    <w:rsid w:val="001B527E"/>
    <w:rsid w:val="001D41F5"/>
    <w:rsid w:val="0021304A"/>
    <w:rsid w:val="00213185"/>
    <w:rsid w:val="00225277"/>
    <w:rsid w:val="00265F3F"/>
    <w:rsid w:val="00275BB5"/>
    <w:rsid w:val="002A2527"/>
    <w:rsid w:val="002E05D6"/>
    <w:rsid w:val="002F286B"/>
    <w:rsid w:val="00304175"/>
    <w:rsid w:val="00305095"/>
    <w:rsid w:val="00305CE0"/>
    <w:rsid w:val="003200C9"/>
    <w:rsid w:val="003A4DF2"/>
    <w:rsid w:val="003A6C0C"/>
    <w:rsid w:val="003E50D7"/>
    <w:rsid w:val="003E5162"/>
    <w:rsid w:val="003F4DBC"/>
    <w:rsid w:val="00417DCE"/>
    <w:rsid w:val="004313F7"/>
    <w:rsid w:val="00433628"/>
    <w:rsid w:val="0045595E"/>
    <w:rsid w:val="00466021"/>
    <w:rsid w:val="00471FC2"/>
    <w:rsid w:val="004770D3"/>
    <w:rsid w:val="00492ACD"/>
    <w:rsid w:val="004C2077"/>
    <w:rsid w:val="004E0E1E"/>
    <w:rsid w:val="004E5D41"/>
    <w:rsid w:val="004F2B1C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72D9C"/>
    <w:rsid w:val="006807BD"/>
    <w:rsid w:val="00683044"/>
    <w:rsid w:val="006939C0"/>
    <w:rsid w:val="006A5DDC"/>
    <w:rsid w:val="00720EC0"/>
    <w:rsid w:val="00722AEE"/>
    <w:rsid w:val="007352C8"/>
    <w:rsid w:val="00754AE5"/>
    <w:rsid w:val="00786495"/>
    <w:rsid w:val="007A68AC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D608F"/>
    <w:rsid w:val="009E4DD1"/>
    <w:rsid w:val="009E6616"/>
    <w:rsid w:val="009F4130"/>
    <w:rsid w:val="009F7052"/>
    <w:rsid w:val="00A12002"/>
    <w:rsid w:val="00A17257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F0B9A"/>
    <w:rsid w:val="00BF6ADB"/>
    <w:rsid w:val="00C01AC6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6120"/>
    <w:rsid w:val="00F31669"/>
    <w:rsid w:val="00F34A34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  <w15:docId w15:val="{BCB7D83C-6469-4F8D-824E-11151D55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  <w:style w:type="paragraph" w:customStyle="1" w:styleId="Default">
    <w:name w:val="Default"/>
    <w:rsid w:val="001B5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A060-DCC1-4C8F-AF88-02880EE8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Fujitsu</cp:lastModifiedBy>
  <cp:revision>109</cp:revision>
  <dcterms:created xsi:type="dcterms:W3CDTF">2015-05-14T13:29:00Z</dcterms:created>
  <dcterms:modified xsi:type="dcterms:W3CDTF">2019-04-08T08:13:00Z</dcterms:modified>
</cp:coreProperties>
</file>